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BB8" w:rsidRPr="00621BB8" w:rsidRDefault="003E561F" w:rsidP="0074626C">
      <w:pPr>
        <w:rPr>
          <w:rFonts w:ascii="Arial" w:eastAsia="Times New Roman" w:hAnsi="Arial" w:cs="Arial"/>
          <w:color w:val="000000"/>
          <w:sz w:val="24"/>
          <w:szCs w:val="24"/>
        </w:rPr>
      </w:pPr>
      <w:r w:rsidRPr="003E561F">
        <w:rPr>
          <w:rFonts w:ascii="Arial" w:eastAsia="Times New Roman" w:hAnsi="Arial" w:cs="Arial"/>
          <w:color w:val="000000"/>
          <w:sz w:val="24"/>
          <w:szCs w:val="24"/>
        </w:rPr>
        <w:t>Dear WHO team,</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We are contacting you with regards to the upcoming review of the scheduling of the coca leaf.</w:t>
      </w:r>
    </w:p>
    <w:p w:rsidR="003E561F" w:rsidRDefault="003E561F" w:rsidP="003E561F">
      <w:pPr>
        <w:spacing w:before="240" w:after="240" w:line="240" w:lineRule="auto"/>
        <w:rPr>
          <w:rFonts w:ascii="Arial" w:eastAsia="Times New Roman" w:hAnsi="Arial" w:cs="Arial"/>
          <w:color w:val="000000"/>
          <w:sz w:val="24"/>
          <w:szCs w:val="24"/>
        </w:rPr>
      </w:pPr>
      <w:r w:rsidRPr="003E561F">
        <w:rPr>
          <w:rFonts w:ascii="Arial" w:eastAsia="Times New Roman" w:hAnsi="Arial" w:cs="Arial"/>
          <w:color w:val="000000"/>
          <w:sz w:val="24"/>
          <w:szCs w:val="24"/>
        </w:rPr>
        <w:t>Currently, the coca leaf is in the Schedule I of the 1961 Single Convention on Narcotic Drugs, meaning severe restrictions are placed on the use of this plant.  Misguided international policies aimed at controlling drug trafficking have seen the Andean, and Amazonian indigenous communities and campesinos become victims of laws which prohibit the use of a plant that has been an integral part of their cultures for millennia.  Not only does this violate their culture, but it also inhibits opportunities for economic development within these communities, and prohibits the rest of the world from accessing these remarkably safe and effective medicines.  </w:t>
      </w:r>
    </w:p>
    <w:p w:rsidR="00621BB8" w:rsidRPr="003E561F" w:rsidRDefault="00621BB8" w:rsidP="003E561F">
      <w:pPr>
        <w:spacing w:before="240" w:after="240" w:line="240" w:lineRule="auto"/>
        <w:rPr>
          <w:rFonts w:ascii="Times New Roman" w:eastAsia="Times New Roman" w:hAnsi="Times New Roman" w:cs="Times New Roman"/>
          <w:sz w:val="24"/>
          <w:szCs w:val="24"/>
        </w:rPr>
      </w:pP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b/>
          <w:bCs/>
          <w:color w:val="000000"/>
          <w:sz w:val="24"/>
          <w:szCs w:val="24"/>
        </w:rPr>
        <w:t>Culture and history</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The coca plant has been a highly revered part of many cultures for over 8000 years. The plants erasure (despite its safety profile and benefits) is an act of cultural suppression which acts as a legacy from Spanish colonisation, when the plant was first made illegal (1). The coca plant is central  to many spiritual practices and beliefs across different places like Peru, Colombia and Bolivia. It also boasts medicinal and nutritious properties. For example it can help with altitude sickness, support with gastrointestinal health, pain relief, mental health and cardiovascular support. The Coca review offers the global community an opportunity to overturn this miscarriage of justice that has been disproportionately felt by indigenous and rural communities. It could potentially go some distance in delivering transitional justice to the communities most harmed by Prohibitionist polices. </w:t>
      </w:r>
    </w:p>
    <w:p w:rsidR="00621BB8" w:rsidRDefault="00621BB8" w:rsidP="003E561F">
      <w:pPr>
        <w:spacing w:before="240" w:after="240" w:line="240" w:lineRule="auto"/>
        <w:rPr>
          <w:rFonts w:ascii="Arial" w:eastAsia="Times New Roman" w:hAnsi="Arial" w:cs="Arial"/>
          <w:b/>
          <w:bCs/>
          <w:color w:val="000000"/>
          <w:sz w:val="24"/>
          <w:szCs w:val="24"/>
        </w:rPr>
      </w:pP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b/>
          <w:bCs/>
          <w:color w:val="000000"/>
          <w:sz w:val="24"/>
          <w:szCs w:val="24"/>
        </w:rPr>
        <w:t>Medical efficacy and toxicology</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We understand that a shift in legislation requires an analysis of the potential for risks to public health and safety, the potential for abuse and therapeutic value. Regulatory restrictions and the stigmatization of coca have made research on this very difficult. This is exacerbated by the fact that the places where coca is consumed tend to be low in income with limited access to resources and education for research. However, there is an enormous amount of real world empirical evidence gathered from thousands of years of use across a diverse array of communities all across South America, when international regulatory strategies only require evidence of use of over 30 years (2).  Furthermore, the available scientific evidence strongly suggests that consuming coca leaf through its traditional preparations is very safe. Coca could also offer treatment options for many conditions that simply do not have viable treatment options at the moment, and could fill many therapeutic gaps.  </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 </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b/>
          <w:bCs/>
          <w:color w:val="000000"/>
          <w:sz w:val="24"/>
          <w:szCs w:val="24"/>
        </w:rPr>
        <w:lastRenderedPageBreak/>
        <w:t>Economic opportunity</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Wealth inequality and poverty are incredibly important issues that are some of the biggest contributors to health crises. They contribute massively to the illicit cocaine trade that causes so much destruction and terror both within communities and to the planet. It has been demonstrated by multiple places that legalisation and industrialization of coca can offer profound opportunities for sustainable innovation, economic development and peace across regions and countries such as Colombia. This can offer independence and prosperity to communities currently heavily affected by drug control policies and poverty. If the legislation changes it will allow people to legally earn money to raise their quality of life for themselves, their families and communities as well as offer efficacious and safe medicines to the world.</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 </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b/>
          <w:bCs/>
          <w:color w:val="000000"/>
          <w:sz w:val="24"/>
          <w:szCs w:val="24"/>
        </w:rPr>
        <w:t>Coca is not cocaine- plant chemistry and why prohibition is illogical</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The whole basis for the prohibition of the coca leaf is because of a single molecule the plant contains- cocaine. However, the plant contains only trace amounts of cocaine in the leaves, with as little as 0.1% prevalent (3). A vast majority of plants that we consume contain compounds that would be toxic in isolation and in high doses. From the cyanide in apple seeds to the solanine in potatoes- it would be outrageous to ban these crops because of these compounds, and the same is true for coca and cocaine. People in the illicit drug trade have already been moving thousands of tonnes of pure cocaine across the world, making hundreds of billions of dollars- one could argue that they will not waste their time shipping kilos of herbs with negligible amounts of cocaine in.</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 </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b/>
          <w:bCs/>
          <w:color w:val="000000"/>
          <w:sz w:val="24"/>
          <w:szCs w:val="24"/>
        </w:rPr>
        <w:t>Current policies for traditional medicine and indigenous people</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Currently, the World Health Organization acknowledges and respects that indigenous medicine and herbal medicines are an integral part of global health systems, as seen in the report WHO traditional medicine strategy: 2014-2023 (4). The United Nations Declaration on the Rights of Indigenous Peoples further reinforces the importance of protecting and promoting the traditional health practices of these communities with cultural heritage being a fundamental contribution to global health (5). However, the current legislation of coca is in direct violation of these statements and reform of policy is needed. This is also in part why involving the knowledge and cultural values from the indigenous and campesino communities is fundamental to this shift. The social, cultural and human rights dimensions of this work must no longer be overlooked by the WHO- without this, recommendations will lack the evidence needed for fully informed and fair decisions. Acknowledging and honouring this is the only way to create a balanced and equitable solution and policies for this issue, to move forward in the right direction and not repeat mistakes from the past.  </w:t>
      </w:r>
    </w:p>
    <w:p w:rsidR="003E561F" w:rsidRPr="003E561F" w:rsidRDefault="003E561F" w:rsidP="003E561F">
      <w:pPr>
        <w:spacing w:before="240" w:after="240" w:line="240" w:lineRule="auto"/>
        <w:rPr>
          <w:rFonts w:ascii="Times New Roman" w:eastAsia="Times New Roman" w:hAnsi="Times New Roman" w:cs="Times New Roman"/>
          <w:sz w:val="24"/>
          <w:szCs w:val="24"/>
        </w:rPr>
      </w:pP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b/>
          <w:bCs/>
          <w:color w:val="000000"/>
          <w:sz w:val="24"/>
          <w:szCs w:val="24"/>
        </w:rPr>
        <w:lastRenderedPageBreak/>
        <w:t>Moving forward</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We are sending this letter to illuminate a perspective on why the coca leaf scheduling should change, and why it should be legally regulated. Also to iterate that if you go ahead with this, then it is crucial to centre the voices of the indigenous and campesino communities in the transformation and amplification of the coca bio-economy. Those most harmed by Coca prohibition should be part of the design process of all new reforms. </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It is fundamental that the social, cultural, spiritual and medicinal value of this plant is recognised if the commercialization of this plant is permitted. This must not lead to the further destruction and exploitation of these communities, and it is essential to protect the rights and cultural roots of the communities who have always revered and used coca despite colonisation and draconian rules. It is our moral duty to help ensure that they too are leaders in this reformation.</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This is also an opportunity to step away from the monocultural agricultural extractivism that characterises the prohibition-based illicit cocaine war economy, and many other legal cash crops. Innovation and sustainable farming techniques are needed to make sure that no more land is degraded for trading, as the illicit drug trade now destroys millions of hectares of nature.  We can and should seize this opportunity to farm coca in a way that improves the planetary health system, promoting agroecology rather than degrade it.</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Regeneration and peace-building must be prioritised in the places most affected by the cocaine trade and is necessary to allow for a smooth transition into a safer and more prosperous economy. Ethical supply chains that are reciprocal for the keepers of this plant must be mandatory- it is essential that this shift is not just another exploitative industry that exacerbates problems. Industry standards must be introduced to keep those involved protected and thriving, and there are already formidable and dedicated people working together with indigenous people and campesinos to ensure this.</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Many thanks for taking the time to read this letter. We hope that you can see the profound positive effect that legalising this plant can have for the planet and its people, and take this opportunity to do this and help with this cause..</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Regards,</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rPr>
        <w:t>__________________________________</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color w:val="000000"/>
          <w:sz w:val="24"/>
          <w:szCs w:val="24"/>
          <w:shd w:val="clear" w:color="auto" w:fill="00FF00"/>
        </w:rPr>
        <w:t> FROM which institution/ Sector/ Group/ lineage </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b/>
          <w:bCs/>
          <w:color w:val="000000"/>
          <w:sz w:val="24"/>
          <w:szCs w:val="24"/>
        </w:rPr>
        <w:t> </w:t>
      </w:r>
    </w:p>
    <w:p w:rsidR="003E561F" w:rsidRDefault="003E561F" w:rsidP="003E561F">
      <w:pPr>
        <w:spacing w:before="240" w:after="240" w:line="240" w:lineRule="auto"/>
        <w:rPr>
          <w:rFonts w:ascii="Arial" w:eastAsia="Times New Roman" w:hAnsi="Arial" w:cs="Arial"/>
          <w:b/>
          <w:bCs/>
          <w:color w:val="000000"/>
          <w:sz w:val="24"/>
          <w:szCs w:val="24"/>
        </w:rPr>
      </w:pPr>
      <w:r w:rsidRPr="003E561F">
        <w:rPr>
          <w:rFonts w:ascii="Arial" w:eastAsia="Times New Roman" w:hAnsi="Arial" w:cs="Arial"/>
          <w:b/>
          <w:bCs/>
          <w:color w:val="000000"/>
          <w:sz w:val="24"/>
          <w:szCs w:val="24"/>
        </w:rPr>
        <w:t> </w:t>
      </w:r>
    </w:p>
    <w:p w:rsidR="00621BB8" w:rsidRPr="003E561F" w:rsidRDefault="00621BB8" w:rsidP="003E561F">
      <w:pPr>
        <w:spacing w:before="240" w:after="240" w:line="240" w:lineRule="auto"/>
        <w:rPr>
          <w:rFonts w:ascii="Times New Roman" w:eastAsia="Times New Roman" w:hAnsi="Times New Roman" w:cs="Times New Roman"/>
          <w:sz w:val="24"/>
          <w:szCs w:val="24"/>
        </w:rPr>
      </w:pP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b/>
          <w:bCs/>
          <w:color w:val="000000"/>
          <w:sz w:val="24"/>
          <w:szCs w:val="24"/>
        </w:rPr>
        <w:lastRenderedPageBreak/>
        <w:t>Further reading:</w:t>
      </w:r>
    </w:p>
    <w:bookmarkStart w:id="0" w:name="_GoBack"/>
    <w:p w:rsidR="003E561F" w:rsidRPr="00B06413" w:rsidRDefault="00B06413" w:rsidP="00B06413">
      <w:pPr>
        <w:pStyle w:val="ListParagraph"/>
        <w:numPr>
          <w:ilvl w:val="0"/>
          <w:numId w:val="2"/>
        </w:numPr>
        <w:spacing w:before="240" w:after="240" w:line="360" w:lineRule="auto"/>
        <w:rPr>
          <w:rFonts w:ascii="Times New Roman" w:eastAsia="Times New Roman" w:hAnsi="Times New Roman" w:cs="Times New Roman"/>
          <w:sz w:val="24"/>
          <w:szCs w:val="24"/>
        </w:rPr>
      </w:pPr>
      <w:r>
        <w:fldChar w:fldCharType="begin"/>
      </w:r>
      <w:r>
        <w:instrText xml:space="preserve"> HYPERLINK "https://www.opensocietyfoundations.org/publications/coca-industrialization-path-innovation-development-and-peace-colombia" \l ":~:text=Coca%20Industrialization%20explores%20the%20potential,%2C%20economic%2C%20and%20environmental%20benefits." </w:instrText>
      </w:r>
      <w:r>
        <w:fldChar w:fldCharType="separate"/>
      </w:r>
      <w:r w:rsidR="003E561F" w:rsidRPr="00B06413">
        <w:rPr>
          <w:rFonts w:ascii="Arial" w:eastAsia="Times New Roman" w:hAnsi="Arial" w:cs="Arial"/>
          <w:color w:val="1155CC"/>
          <w:sz w:val="24"/>
          <w:szCs w:val="24"/>
          <w:u w:val="single"/>
        </w:rPr>
        <w:t>Coca industrialization: A path to innovation, development and peace in Colombia</w:t>
      </w:r>
      <w:r w:rsidRPr="00B06413">
        <w:rPr>
          <w:rFonts w:ascii="Arial" w:eastAsia="Times New Roman" w:hAnsi="Arial" w:cs="Arial"/>
          <w:color w:val="1155CC"/>
          <w:sz w:val="24"/>
          <w:szCs w:val="24"/>
          <w:u w:val="single"/>
        </w:rPr>
        <w:fldChar w:fldCharType="end"/>
      </w:r>
    </w:p>
    <w:p w:rsidR="003E561F" w:rsidRPr="00B06413" w:rsidRDefault="00B06413" w:rsidP="00B06413">
      <w:pPr>
        <w:pStyle w:val="ListParagraph"/>
        <w:numPr>
          <w:ilvl w:val="0"/>
          <w:numId w:val="2"/>
        </w:numPr>
        <w:spacing w:before="240" w:after="240" w:line="360" w:lineRule="auto"/>
        <w:rPr>
          <w:rFonts w:ascii="Times New Roman" w:eastAsia="Times New Roman" w:hAnsi="Times New Roman" w:cs="Times New Roman"/>
          <w:sz w:val="24"/>
          <w:szCs w:val="24"/>
        </w:rPr>
      </w:pPr>
      <w:hyperlink r:id="rId5" w:history="1">
        <w:r w:rsidR="003E561F" w:rsidRPr="00B06413">
          <w:rPr>
            <w:rFonts w:ascii="Arial" w:eastAsia="Times New Roman" w:hAnsi="Arial" w:cs="Arial"/>
            <w:color w:val="1155CC"/>
            <w:sz w:val="24"/>
            <w:szCs w:val="24"/>
            <w:u w:val="single"/>
          </w:rPr>
          <w:t>Coca Monograph</w:t>
        </w:r>
      </w:hyperlink>
    </w:p>
    <w:p w:rsidR="003E561F" w:rsidRPr="00B06413" w:rsidRDefault="00B06413" w:rsidP="00B06413">
      <w:pPr>
        <w:pStyle w:val="ListParagraph"/>
        <w:numPr>
          <w:ilvl w:val="0"/>
          <w:numId w:val="2"/>
        </w:numPr>
        <w:spacing w:before="240" w:after="240" w:line="360" w:lineRule="auto"/>
        <w:rPr>
          <w:rFonts w:ascii="Times New Roman" w:eastAsia="Times New Roman" w:hAnsi="Times New Roman" w:cs="Times New Roman"/>
          <w:sz w:val="24"/>
          <w:szCs w:val="24"/>
        </w:rPr>
      </w:pPr>
      <w:hyperlink r:id="rId6" w:history="1">
        <w:r w:rsidR="003E561F" w:rsidRPr="00B06413">
          <w:rPr>
            <w:rFonts w:ascii="Arial" w:eastAsia="Times New Roman" w:hAnsi="Arial" w:cs="Arial"/>
            <w:color w:val="1155CC"/>
            <w:sz w:val="24"/>
            <w:szCs w:val="24"/>
            <w:u w:val="single"/>
          </w:rPr>
          <w:t>Wisdom of the Leaf Coca Summit- McKenna Academy</w:t>
        </w:r>
      </w:hyperlink>
    </w:p>
    <w:p w:rsidR="003E561F" w:rsidRPr="00B06413" w:rsidRDefault="00B06413" w:rsidP="00B06413">
      <w:pPr>
        <w:pStyle w:val="ListParagraph"/>
        <w:numPr>
          <w:ilvl w:val="0"/>
          <w:numId w:val="2"/>
        </w:numPr>
        <w:spacing w:before="240" w:after="240" w:line="360" w:lineRule="auto"/>
        <w:rPr>
          <w:rFonts w:ascii="Times New Roman" w:eastAsia="Times New Roman" w:hAnsi="Times New Roman" w:cs="Times New Roman"/>
          <w:sz w:val="24"/>
          <w:szCs w:val="24"/>
        </w:rPr>
      </w:pPr>
      <w:hyperlink r:id="rId7" w:history="1">
        <w:r w:rsidR="003E561F" w:rsidRPr="00B06413">
          <w:rPr>
            <w:rFonts w:ascii="Arial" w:eastAsia="Times New Roman" w:hAnsi="Arial" w:cs="Arial"/>
            <w:color w:val="1155CC"/>
            <w:sz w:val="24"/>
            <w:szCs w:val="24"/>
            <w:u w:val="single"/>
          </w:rPr>
          <w:t>This Missing Link to Climate Justice: Drug Policy</w:t>
        </w:r>
      </w:hyperlink>
    </w:p>
    <w:p w:rsidR="003E561F" w:rsidRPr="00B06413" w:rsidRDefault="00B06413" w:rsidP="00B06413">
      <w:pPr>
        <w:pStyle w:val="ListParagraph"/>
        <w:numPr>
          <w:ilvl w:val="0"/>
          <w:numId w:val="2"/>
        </w:numPr>
        <w:spacing w:before="240" w:after="240" w:line="360" w:lineRule="auto"/>
        <w:rPr>
          <w:rFonts w:ascii="Times New Roman" w:eastAsia="Times New Roman" w:hAnsi="Times New Roman" w:cs="Times New Roman"/>
          <w:sz w:val="24"/>
          <w:szCs w:val="24"/>
        </w:rPr>
      </w:pPr>
      <w:hyperlink r:id="rId8" w:history="1">
        <w:r w:rsidR="003E561F" w:rsidRPr="00B06413">
          <w:rPr>
            <w:rFonts w:ascii="Arial" w:eastAsia="Times New Roman" w:hAnsi="Arial" w:cs="Arial"/>
            <w:color w:val="1155CC"/>
            <w:sz w:val="24"/>
            <w:szCs w:val="24"/>
            <w:u w:val="single"/>
          </w:rPr>
          <w:t>Health Poverty Action</w:t>
        </w:r>
      </w:hyperlink>
    </w:p>
    <w:p w:rsidR="003E561F" w:rsidRPr="00B06413" w:rsidRDefault="00B06413" w:rsidP="00B06413">
      <w:pPr>
        <w:pStyle w:val="ListParagraph"/>
        <w:numPr>
          <w:ilvl w:val="0"/>
          <w:numId w:val="2"/>
        </w:numPr>
        <w:spacing w:before="240" w:after="240" w:line="360" w:lineRule="auto"/>
        <w:rPr>
          <w:rFonts w:ascii="Times New Roman" w:eastAsia="Times New Roman" w:hAnsi="Times New Roman" w:cs="Times New Roman"/>
          <w:sz w:val="24"/>
          <w:szCs w:val="24"/>
        </w:rPr>
      </w:pPr>
      <w:hyperlink r:id="rId9" w:history="1">
        <w:r w:rsidR="003E561F" w:rsidRPr="00B06413">
          <w:rPr>
            <w:rFonts w:ascii="Arial" w:eastAsia="Times New Roman" w:hAnsi="Arial" w:cs="Arial"/>
            <w:color w:val="1155CC"/>
            <w:sz w:val="24"/>
            <w:szCs w:val="24"/>
            <w:u w:val="single"/>
          </w:rPr>
          <w:t>Legal Regulation of Drugs for Global Justice</w:t>
        </w:r>
      </w:hyperlink>
    </w:p>
    <w:bookmarkEnd w:id="0"/>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b/>
          <w:bCs/>
          <w:color w:val="000000"/>
          <w:sz w:val="24"/>
          <w:szCs w:val="24"/>
        </w:rPr>
        <w:t> </w:t>
      </w:r>
    </w:p>
    <w:p w:rsidR="003E561F" w:rsidRPr="003E561F" w:rsidRDefault="003E561F" w:rsidP="003E561F">
      <w:pPr>
        <w:spacing w:before="240" w:after="240" w:line="240" w:lineRule="auto"/>
        <w:rPr>
          <w:rFonts w:ascii="Times New Roman" w:eastAsia="Times New Roman" w:hAnsi="Times New Roman" w:cs="Times New Roman"/>
          <w:sz w:val="24"/>
          <w:szCs w:val="24"/>
        </w:rPr>
      </w:pPr>
      <w:r w:rsidRPr="003E561F">
        <w:rPr>
          <w:rFonts w:ascii="Arial" w:eastAsia="Times New Roman" w:hAnsi="Arial" w:cs="Arial"/>
          <w:b/>
          <w:bCs/>
          <w:color w:val="000000"/>
          <w:sz w:val="24"/>
          <w:szCs w:val="24"/>
        </w:rPr>
        <w:t>References  </w:t>
      </w:r>
    </w:p>
    <w:p w:rsidR="003E561F" w:rsidRPr="00621BB8" w:rsidRDefault="003E561F" w:rsidP="00621BB8">
      <w:pPr>
        <w:pStyle w:val="ListParagraph"/>
        <w:numPr>
          <w:ilvl w:val="0"/>
          <w:numId w:val="1"/>
        </w:numPr>
        <w:spacing w:before="240" w:after="240" w:line="240" w:lineRule="auto"/>
        <w:rPr>
          <w:rFonts w:ascii="Times New Roman" w:eastAsia="Times New Roman" w:hAnsi="Times New Roman" w:cs="Times New Roman"/>
          <w:sz w:val="24"/>
          <w:szCs w:val="24"/>
        </w:rPr>
      </w:pPr>
      <w:r w:rsidRPr="00621BB8">
        <w:rPr>
          <w:rFonts w:ascii="Arial" w:eastAsia="Times New Roman" w:hAnsi="Arial" w:cs="Arial"/>
          <w:color w:val="000000"/>
          <w:sz w:val="24"/>
          <w:szCs w:val="24"/>
        </w:rPr>
        <w:t xml:space="preserve">Rowe J Howland. The Incas Under Spanish Colonial Institutions. </w:t>
      </w:r>
      <w:r w:rsidRPr="00621BB8">
        <w:rPr>
          <w:rFonts w:ascii="Arial" w:eastAsia="Times New Roman" w:hAnsi="Arial" w:cs="Arial"/>
          <w:i/>
          <w:iCs/>
          <w:color w:val="000000"/>
          <w:sz w:val="24"/>
          <w:szCs w:val="24"/>
        </w:rPr>
        <w:t>The Hispanic American Historical Review</w:t>
      </w:r>
      <w:r w:rsidRPr="00621BB8">
        <w:rPr>
          <w:rFonts w:ascii="Arial" w:eastAsia="Times New Roman" w:hAnsi="Arial" w:cs="Arial"/>
          <w:color w:val="000000"/>
          <w:sz w:val="24"/>
          <w:szCs w:val="24"/>
        </w:rPr>
        <w:t>. Published online May 1957:155-199. doi:10.2307/2510330</w:t>
      </w:r>
    </w:p>
    <w:p w:rsidR="00621BB8" w:rsidRPr="00621BB8" w:rsidRDefault="00621BB8" w:rsidP="00621BB8">
      <w:pPr>
        <w:pStyle w:val="ListParagraph"/>
        <w:spacing w:before="240" w:after="240" w:line="240" w:lineRule="auto"/>
        <w:ind w:left="360"/>
        <w:rPr>
          <w:rFonts w:ascii="Times New Roman" w:eastAsia="Times New Roman" w:hAnsi="Times New Roman" w:cs="Times New Roman"/>
          <w:sz w:val="24"/>
          <w:szCs w:val="24"/>
        </w:rPr>
      </w:pPr>
    </w:p>
    <w:p w:rsidR="003E561F" w:rsidRPr="00621BB8" w:rsidRDefault="003E561F" w:rsidP="00621BB8">
      <w:pPr>
        <w:pStyle w:val="ListParagraph"/>
        <w:numPr>
          <w:ilvl w:val="0"/>
          <w:numId w:val="1"/>
        </w:numPr>
        <w:spacing w:after="0" w:line="240" w:lineRule="auto"/>
        <w:rPr>
          <w:rFonts w:ascii="Times New Roman" w:eastAsia="Times New Roman" w:hAnsi="Times New Roman" w:cs="Times New Roman"/>
          <w:sz w:val="24"/>
          <w:szCs w:val="24"/>
        </w:rPr>
      </w:pPr>
      <w:r w:rsidRPr="00621BB8">
        <w:rPr>
          <w:rFonts w:ascii="Arial" w:eastAsia="Times New Roman" w:hAnsi="Arial" w:cs="Arial"/>
          <w:color w:val="000000"/>
        </w:rPr>
        <w:t xml:space="preserve">World Health Organization. </w:t>
      </w:r>
      <w:r w:rsidRPr="00621BB8">
        <w:rPr>
          <w:rFonts w:ascii="Arial" w:eastAsia="Times New Roman" w:hAnsi="Arial" w:cs="Arial"/>
          <w:i/>
          <w:iCs/>
          <w:color w:val="000000"/>
        </w:rPr>
        <w:t>General Guidelines for Methodologies on Research and Evaluation of Traditional Medicine</w:t>
      </w:r>
      <w:r w:rsidRPr="00621BB8">
        <w:rPr>
          <w:rFonts w:ascii="Arial" w:eastAsia="Times New Roman" w:hAnsi="Arial" w:cs="Arial"/>
          <w:color w:val="000000"/>
        </w:rPr>
        <w:t xml:space="preserve">.; 2000. </w:t>
      </w:r>
      <w:hyperlink r:id="rId10" w:history="1">
        <w:r w:rsidRPr="00621BB8">
          <w:rPr>
            <w:rStyle w:val="Hyperlink"/>
            <w:rFonts w:ascii="Arial" w:eastAsia="Times New Roman" w:hAnsi="Arial" w:cs="Arial"/>
          </w:rPr>
          <w:t>https://iris.who.int/bitstream/handle/10665/66783/WHO_EDM_TRM_2000.1.pdf</w:t>
        </w:r>
      </w:hyperlink>
    </w:p>
    <w:p w:rsidR="003E561F" w:rsidRPr="003E561F" w:rsidRDefault="003E561F" w:rsidP="003E561F">
      <w:pPr>
        <w:spacing w:after="0" w:line="240" w:lineRule="auto"/>
        <w:ind w:left="720" w:hanging="360"/>
        <w:rPr>
          <w:rFonts w:ascii="Times New Roman" w:eastAsia="Times New Roman" w:hAnsi="Times New Roman" w:cs="Times New Roman"/>
          <w:sz w:val="24"/>
          <w:szCs w:val="24"/>
        </w:rPr>
      </w:pPr>
    </w:p>
    <w:p w:rsidR="003E561F" w:rsidRPr="00621BB8" w:rsidRDefault="003E561F" w:rsidP="00621BB8">
      <w:pPr>
        <w:pStyle w:val="ListParagraph"/>
        <w:numPr>
          <w:ilvl w:val="0"/>
          <w:numId w:val="1"/>
        </w:numPr>
        <w:spacing w:after="0" w:line="240" w:lineRule="auto"/>
        <w:rPr>
          <w:rFonts w:ascii="Times New Roman" w:eastAsia="Times New Roman" w:hAnsi="Times New Roman" w:cs="Times New Roman"/>
          <w:sz w:val="24"/>
          <w:szCs w:val="24"/>
        </w:rPr>
      </w:pPr>
      <w:r w:rsidRPr="00621BB8">
        <w:rPr>
          <w:rFonts w:ascii="Arial" w:eastAsia="Times New Roman" w:hAnsi="Arial" w:cs="Arial"/>
          <w:color w:val="000000"/>
        </w:rPr>
        <w:t xml:space="preserve">Biondich AS, Joslin JD. Coca: the history and medical significance of an ancient Andean tradition. </w:t>
      </w:r>
      <w:r w:rsidRPr="00621BB8">
        <w:rPr>
          <w:rFonts w:ascii="Arial" w:eastAsia="Times New Roman" w:hAnsi="Arial" w:cs="Arial"/>
          <w:i/>
          <w:iCs/>
          <w:color w:val="000000"/>
        </w:rPr>
        <w:t>Emergency Medicine International</w:t>
      </w:r>
      <w:r w:rsidRPr="00621BB8">
        <w:rPr>
          <w:rFonts w:ascii="Arial" w:eastAsia="Times New Roman" w:hAnsi="Arial" w:cs="Arial"/>
          <w:color w:val="000000"/>
        </w:rPr>
        <w:t>. 2016;2016:1-5. doi:10.1155/2016/4048764</w:t>
      </w:r>
    </w:p>
    <w:p w:rsidR="003E561F" w:rsidRPr="003E561F" w:rsidRDefault="003E561F" w:rsidP="003E561F">
      <w:pPr>
        <w:spacing w:after="0" w:line="240" w:lineRule="auto"/>
        <w:ind w:left="720" w:hanging="360"/>
        <w:rPr>
          <w:rFonts w:ascii="Times New Roman" w:eastAsia="Times New Roman" w:hAnsi="Times New Roman" w:cs="Times New Roman"/>
          <w:sz w:val="24"/>
          <w:szCs w:val="24"/>
        </w:rPr>
      </w:pPr>
    </w:p>
    <w:p w:rsidR="003E561F" w:rsidRPr="00621BB8" w:rsidRDefault="003E561F" w:rsidP="00621BB8">
      <w:pPr>
        <w:pStyle w:val="ListParagraph"/>
        <w:numPr>
          <w:ilvl w:val="0"/>
          <w:numId w:val="1"/>
        </w:numPr>
        <w:spacing w:after="0" w:line="240" w:lineRule="auto"/>
        <w:rPr>
          <w:rFonts w:ascii="Times New Roman" w:eastAsia="Times New Roman" w:hAnsi="Times New Roman" w:cs="Times New Roman"/>
          <w:sz w:val="24"/>
          <w:szCs w:val="24"/>
        </w:rPr>
      </w:pPr>
      <w:r w:rsidRPr="00621BB8">
        <w:rPr>
          <w:rFonts w:ascii="Arial" w:eastAsia="Times New Roman" w:hAnsi="Arial" w:cs="Arial"/>
          <w:color w:val="000000"/>
        </w:rPr>
        <w:t xml:space="preserve">Integrated Health Services (IHS). WHO traditional medicine strategy: 2014-2023. Published May 15, 2013. </w:t>
      </w:r>
      <w:r w:rsidR="00621BB8" w:rsidRPr="00621BB8">
        <w:rPr>
          <w:rFonts w:ascii="Arial" w:eastAsia="Times New Roman" w:hAnsi="Arial" w:cs="Arial"/>
          <w:color w:val="000000"/>
        </w:rPr>
        <w:br/>
      </w:r>
      <w:hyperlink r:id="rId11" w:history="1">
        <w:r w:rsidRPr="00621BB8">
          <w:rPr>
            <w:rStyle w:val="Hyperlink"/>
            <w:rFonts w:ascii="Arial" w:eastAsia="Times New Roman" w:hAnsi="Arial" w:cs="Arial"/>
          </w:rPr>
          <w:t>https://www.who.int/publications/i/item/9789241506096</w:t>
        </w:r>
      </w:hyperlink>
    </w:p>
    <w:p w:rsidR="003E561F" w:rsidRPr="003E561F" w:rsidRDefault="003E561F" w:rsidP="003E561F">
      <w:pPr>
        <w:spacing w:after="0" w:line="240" w:lineRule="auto"/>
        <w:ind w:left="720"/>
        <w:rPr>
          <w:rFonts w:ascii="Times New Roman" w:eastAsia="Times New Roman" w:hAnsi="Times New Roman" w:cs="Times New Roman"/>
          <w:sz w:val="24"/>
          <w:szCs w:val="24"/>
        </w:rPr>
      </w:pPr>
      <w:r w:rsidRPr="003E561F">
        <w:rPr>
          <w:rFonts w:ascii="Arial" w:eastAsia="Times New Roman" w:hAnsi="Arial" w:cs="Arial"/>
          <w:color w:val="000000"/>
        </w:rPr>
        <w:t> </w:t>
      </w:r>
    </w:p>
    <w:p w:rsidR="00561696" w:rsidRPr="00621BB8" w:rsidRDefault="003E561F" w:rsidP="00621BB8">
      <w:pPr>
        <w:pStyle w:val="ListParagraph"/>
        <w:numPr>
          <w:ilvl w:val="0"/>
          <w:numId w:val="1"/>
        </w:numPr>
        <w:spacing w:after="0" w:line="240" w:lineRule="auto"/>
        <w:rPr>
          <w:rFonts w:ascii="Times New Roman" w:eastAsia="Times New Roman" w:hAnsi="Times New Roman" w:cs="Times New Roman"/>
          <w:sz w:val="24"/>
          <w:szCs w:val="24"/>
        </w:rPr>
      </w:pPr>
      <w:r w:rsidRPr="00621BB8">
        <w:rPr>
          <w:rFonts w:ascii="Arial" w:eastAsia="Times New Roman" w:hAnsi="Arial" w:cs="Arial"/>
          <w:color w:val="000000"/>
        </w:rPr>
        <w:t xml:space="preserve">Argentina, Armenia, Canada, et al. UN Rights of Indigenous Peoples : Revised Draft resolution. United Nations Digital Library System. Published November 10, 2021. </w:t>
      </w:r>
      <w:hyperlink r:id="rId12" w:history="1">
        <w:r w:rsidRPr="00621BB8">
          <w:rPr>
            <w:rStyle w:val="Hyperlink"/>
            <w:rFonts w:ascii="Arial" w:eastAsia="Times New Roman" w:hAnsi="Arial" w:cs="Arial"/>
          </w:rPr>
          <w:t>https://digitallibrary.un.org/record/3947224?ln=en&amp;v=pdf</w:t>
        </w:r>
      </w:hyperlink>
    </w:p>
    <w:sectPr w:rsidR="00561696" w:rsidRPr="00621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60EB"/>
    <w:multiLevelType w:val="hybridMultilevel"/>
    <w:tmpl w:val="1AACA5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A515107"/>
    <w:multiLevelType w:val="hybridMultilevel"/>
    <w:tmpl w:val="A216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1F"/>
    <w:rsid w:val="00075075"/>
    <w:rsid w:val="003E561F"/>
    <w:rsid w:val="00561696"/>
    <w:rsid w:val="005A11BA"/>
    <w:rsid w:val="00621BB8"/>
    <w:rsid w:val="0074626C"/>
    <w:rsid w:val="00B06413"/>
    <w:rsid w:val="00EE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D6F56-1232-4F6D-AC75-BF379938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6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561F"/>
    <w:rPr>
      <w:color w:val="0000FF"/>
      <w:u w:val="single"/>
    </w:rPr>
  </w:style>
  <w:style w:type="character" w:customStyle="1" w:styleId="apple-tab-span">
    <w:name w:val="apple-tab-span"/>
    <w:basedOn w:val="DefaultParagraphFont"/>
    <w:rsid w:val="003E561F"/>
  </w:style>
  <w:style w:type="paragraph" w:styleId="ListParagraph">
    <w:name w:val="List Paragraph"/>
    <w:basedOn w:val="Normal"/>
    <w:uiPriority w:val="34"/>
    <w:qFormat/>
    <w:rsid w:val="00621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1387">
      <w:bodyDiv w:val="1"/>
      <w:marLeft w:val="0"/>
      <w:marRight w:val="0"/>
      <w:marTop w:val="0"/>
      <w:marBottom w:val="0"/>
      <w:divBdr>
        <w:top w:val="none" w:sz="0" w:space="0" w:color="auto"/>
        <w:left w:val="none" w:sz="0" w:space="0" w:color="auto"/>
        <w:bottom w:val="none" w:sz="0" w:space="0" w:color="auto"/>
        <w:right w:val="none" w:sz="0" w:space="0" w:color="auto"/>
      </w:divBdr>
    </w:div>
    <w:div w:id="1808548899">
      <w:bodyDiv w:val="1"/>
      <w:marLeft w:val="0"/>
      <w:marRight w:val="0"/>
      <w:marTop w:val="0"/>
      <w:marBottom w:val="0"/>
      <w:divBdr>
        <w:top w:val="none" w:sz="0" w:space="0" w:color="auto"/>
        <w:left w:val="none" w:sz="0" w:space="0" w:color="auto"/>
        <w:bottom w:val="none" w:sz="0" w:space="0" w:color="auto"/>
        <w:right w:val="none" w:sz="0" w:space="0" w:color="auto"/>
      </w:divBdr>
      <w:divsChild>
        <w:div w:id="837618960">
          <w:marLeft w:val="0"/>
          <w:marRight w:val="0"/>
          <w:marTop w:val="0"/>
          <w:marBottom w:val="0"/>
          <w:divBdr>
            <w:top w:val="none" w:sz="0" w:space="0" w:color="auto"/>
            <w:left w:val="none" w:sz="0" w:space="0" w:color="auto"/>
            <w:bottom w:val="none" w:sz="0" w:space="0" w:color="auto"/>
            <w:right w:val="none" w:sz="0" w:space="0" w:color="auto"/>
          </w:divBdr>
        </w:div>
        <w:div w:id="761072804">
          <w:marLeft w:val="0"/>
          <w:marRight w:val="0"/>
          <w:marTop w:val="0"/>
          <w:marBottom w:val="0"/>
          <w:divBdr>
            <w:top w:val="none" w:sz="0" w:space="0" w:color="auto"/>
            <w:left w:val="none" w:sz="0" w:space="0" w:color="auto"/>
            <w:bottom w:val="none" w:sz="0" w:space="0" w:color="auto"/>
            <w:right w:val="none" w:sz="0" w:space="0" w:color="auto"/>
          </w:divBdr>
        </w:div>
        <w:div w:id="1818718384">
          <w:marLeft w:val="0"/>
          <w:marRight w:val="0"/>
          <w:marTop w:val="0"/>
          <w:marBottom w:val="0"/>
          <w:divBdr>
            <w:top w:val="none" w:sz="0" w:space="0" w:color="auto"/>
            <w:left w:val="none" w:sz="0" w:space="0" w:color="auto"/>
            <w:bottom w:val="none" w:sz="0" w:space="0" w:color="auto"/>
            <w:right w:val="none" w:sz="0" w:space="0" w:color="auto"/>
          </w:divBdr>
        </w:div>
        <w:div w:id="1020546499">
          <w:marLeft w:val="0"/>
          <w:marRight w:val="0"/>
          <w:marTop w:val="0"/>
          <w:marBottom w:val="0"/>
          <w:divBdr>
            <w:top w:val="none" w:sz="0" w:space="0" w:color="auto"/>
            <w:left w:val="none" w:sz="0" w:space="0" w:color="auto"/>
            <w:bottom w:val="none" w:sz="0" w:space="0" w:color="auto"/>
            <w:right w:val="none" w:sz="0" w:space="0" w:color="auto"/>
          </w:divBdr>
        </w:div>
        <w:div w:id="1274901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povertyaction.org/the-legal-regulation-of-drugs-the-potential-to-deliver-global-just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lthpovertyaction.org/wp-content/uploads/2023/10/REPORT-Revealing-the-Missing-Link-to-Climate-Justice-Drug-Policy.pdf" TargetMode="External"/><Relationship Id="rId12" Type="http://schemas.openxmlformats.org/officeDocument/2006/relationships/hyperlink" Target="https://digitallibrary.un.org/record/3947224?ln=en&amp;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kenna.academy/mka-programs/wisdom-of-the-leaf-coca-summit/" TargetMode="External"/><Relationship Id="rId11" Type="http://schemas.openxmlformats.org/officeDocument/2006/relationships/hyperlink" Target="https://www.who.int/publications/i/item/9789241506096" TargetMode="External"/><Relationship Id="rId5" Type="http://schemas.openxmlformats.org/officeDocument/2006/relationships/hyperlink" Target="https://www.herbalreality.com/herb/coca/" TargetMode="External"/><Relationship Id="rId10" Type="http://schemas.openxmlformats.org/officeDocument/2006/relationships/hyperlink" Target="https://iris.who.int/bitstream/handle/10665/66783/WHO_EDM_TRM_2000.1.pdf" TargetMode="External"/><Relationship Id="rId4" Type="http://schemas.openxmlformats.org/officeDocument/2006/relationships/webSettings" Target="webSettings.xml"/><Relationship Id="rId9" Type="http://schemas.openxmlformats.org/officeDocument/2006/relationships/hyperlink" Target="https://www.healthpovertyaction.org/wp-content/uploads/2025/03/Legal-regulation-briefings-combine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quatroquatro quatroquatro</dc:creator>
  <cp:keywords/>
  <dc:description/>
  <cp:lastModifiedBy>quatroquatro quatroquatro</cp:lastModifiedBy>
  <cp:revision>3</cp:revision>
  <dcterms:created xsi:type="dcterms:W3CDTF">2025-08-17T10:41:00Z</dcterms:created>
  <dcterms:modified xsi:type="dcterms:W3CDTF">2025-09-24T08:19:00Z</dcterms:modified>
</cp:coreProperties>
</file>